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center" w:pos="4513"/>
          <w:tab w:val="right" w:pos="9026"/>
        </w:tabs>
        <w:spacing w:after="0" w:lineRule="auto"/>
        <w:jc w:val="left"/>
        <w:rPr>
          <w:rFonts w:ascii="Arial" w:cs="Arial" w:eastAsia="Arial" w:hAnsi="Arial"/>
          <w:b w:val="1"/>
          <w:color w:val="000000"/>
          <w:sz w:val="36"/>
          <w:szCs w:val="36"/>
        </w:rPr>
      </w:pPr>
      <w:bookmarkStart w:colFirst="0" w:colLast="0" w:name="_heading=h.gjdgxs" w:id="0"/>
      <w:bookmarkEnd w:id="0"/>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numPr>
          <w:ilvl w:val="0"/>
          <w:numId w:val="2"/>
        </w:numPr>
        <w:tabs>
          <w:tab w:val="left"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2"/>
        </w:numPr>
        <w:tabs>
          <w:tab w:val="left"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shd w:fill="auto" w:val="clear"/>
          </w:tcPr>
          <w:p w:rsidR="00000000" w:rsidDel="00000000" w:rsidP="00000000" w:rsidRDefault="00000000" w:rsidRPr="00000000" w14:paraId="00000004">
            <w:pP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shd w:fill="auto" w:val="clear"/>
          </w:tcPr>
          <w:p w:rsidR="00000000" w:rsidDel="00000000" w:rsidP="00000000" w:rsidRDefault="00000000" w:rsidRPr="00000000" w14:paraId="00000005">
            <w:pPr>
              <w:numPr>
                <w:ilvl w:val="0"/>
                <w:numId w:val="1"/>
              </w:numPr>
              <w:tabs>
                <w:tab w:val="left" w:pos="175"/>
              </w:tabs>
              <w:spacing w:after="120" w:lineRule="auto"/>
              <w:ind w:left="170" w:hanging="170"/>
              <w:jc w:val="left"/>
              <w:rPr>
                <w:color w:val="000000"/>
              </w:rPr>
            </w:pPr>
            <w:r w:rsidDel="00000000" w:rsidR="00000000" w:rsidRPr="00000000">
              <w:rPr>
                <w:rFonts w:ascii="Arial" w:cs="Arial" w:eastAsia="Arial" w:hAnsi="Arial"/>
                <w:color w:val="000000"/>
                <w:sz w:val="24"/>
                <w:szCs w:val="24"/>
                <w:rtl w:val="0"/>
              </w:rPr>
              <w:t xml:space="preserve">the minimum credit rating level for the Monitored Company as set out in Annex 2 and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6">
            <w:pP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shd w:fill="auto" w:val="clear"/>
          </w:tcPr>
          <w:p w:rsidR="00000000" w:rsidDel="00000000" w:rsidP="00000000" w:rsidRDefault="00000000" w:rsidRPr="00000000" w14:paraId="00000007">
            <w:pPr>
              <w:numPr>
                <w:ilvl w:val="0"/>
                <w:numId w:val="1"/>
              </w:numPr>
              <w:tabs>
                <w:tab w:val="left" w:pos="175"/>
              </w:tabs>
              <w:spacing w:after="120" w:lineRule="auto"/>
              <w:ind w:left="170" w:hanging="170"/>
              <w:jc w:val="left"/>
              <w:rPr>
                <w:color w:val="000000"/>
              </w:rPr>
            </w:pPr>
            <w:r w:rsidDel="00000000" w:rsidR="00000000" w:rsidRPr="00000000">
              <w:rPr>
                <w:rFonts w:ascii="Arial" w:cs="Arial" w:eastAsia="Arial" w:hAnsi="Arial"/>
                <w:color w:val="000000"/>
                <w:sz w:val="24"/>
                <w:szCs w:val="24"/>
                <w:rtl w:val="0"/>
              </w:rPr>
              <w:t xml:space="preserve">the occurrence or one or more of the following events:</w:t>
            </w:r>
            <w:r w:rsidDel="00000000" w:rsidR="00000000" w:rsidRPr="00000000">
              <w:rPr>
                <w:rtl w:val="0"/>
              </w:rPr>
            </w:r>
          </w:p>
          <w:p w:rsidR="00000000" w:rsidDel="00000000" w:rsidP="00000000" w:rsidRDefault="00000000" w:rsidRPr="00000000" w14:paraId="00000008">
            <w:pPr>
              <w:numPr>
                <w:ilvl w:val="1"/>
                <w:numId w:val="1"/>
              </w:numPr>
              <w:tabs>
                <w:tab w:val="left" w:pos="175"/>
              </w:tabs>
              <w:spacing w:after="120" w:lineRule="auto"/>
              <w:ind w:left="720" w:hanging="544"/>
              <w:jc w:val="left"/>
              <w:rPr/>
            </w:pPr>
            <w:r w:rsidDel="00000000" w:rsidR="00000000" w:rsidRPr="00000000">
              <w:rPr>
                <w:rFonts w:ascii="Arial" w:cs="Arial" w:eastAsia="Arial" w:hAnsi="Arial"/>
                <w:color w:val="000000"/>
                <w:sz w:val="24"/>
                <w:szCs w:val="24"/>
                <w:rtl w:val="0"/>
              </w:rPr>
              <w:t xml:space="preserve">the credit rating of the Monitored Company dropping below the applicable Credit Rating Threshold;</w:t>
            </w:r>
            <w:r w:rsidDel="00000000" w:rsidR="00000000" w:rsidRPr="00000000">
              <w:rPr>
                <w:rtl w:val="0"/>
              </w:rPr>
            </w:r>
          </w:p>
          <w:p w:rsidR="00000000" w:rsidDel="00000000" w:rsidP="00000000" w:rsidRDefault="00000000" w:rsidRPr="00000000" w14:paraId="00000009">
            <w:pPr>
              <w:numPr>
                <w:ilvl w:val="1"/>
                <w:numId w:val="1"/>
              </w:numPr>
              <w:tabs>
                <w:tab w:val="left" w:pos="175"/>
              </w:tabs>
              <w:spacing w:after="120" w:lineRule="auto"/>
              <w:ind w:left="720" w:hanging="544"/>
              <w:jc w:val="left"/>
              <w:rPr/>
            </w:pPr>
            <w:r w:rsidDel="00000000" w:rsidR="00000000" w:rsidRPr="00000000">
              <w:rPr>
                <w:rFonts w:ascii="Arial" w:cs="Arial" w:eastAsia="Arial" w:hAnsi="Arial"/>
                <w:color w:val="000000"/>
                <w:sz w:val="24"/>
                <w:szCs w:val="24"/>
                <w:rtl w:val="0"/>
              </w:rPr>
              <w:t xml:space="preserve">the Monitored Company issuing a profits warning to a stock exchange or making any other public announcement about a material deterioration in its financial position or prospects;</w:t>
            </w:r>
            <w:r w:rsidDel="00000000" w:rsidR="00000000" w:rsidRPr="00000000">
              <w:rPr>
                <w:rtl w:val="0"/>
              </w:rPr>
            </w:r>
          </w:p>
          <w:p w:rsidR="00000000" w:rsidDel="00000000" w:rsidP="00000000" w:rsidRDefault="00000000" w:rsidRPr="00000000" w14:paraId="0000000A">
            <w:pPr>
              <w:numPr>
                <w:ilvl w:val="1"/>
                <w:numId w:val="1"/>
              </w:numPr>
              <w:tabs>
                <w:tab w:val="left" w:pos="175"/>
              </w:tabs>
              <w:spacing w:after="120" w:lineRule="auto"/>
              <w:ind w:left="720" w:hanging="544"/>
              <w:jc w:val="left"/>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the Monitored Party; </w:t>
            </w:r>
            <w:r w:rsidDel="00000000" w:rsidR="00000000" w:rsidRPr="00000000">
              <w:rPr>
                <w:rtl w:val="0"/>
              </w:rPr>
            </w:r>
          </w:p>
          <w:p w:rsidR="00000000" w:rsidDel="00000000" w:rsidP="00000000" w:rsidRDefault="00000000" w:rsidRPr="00000000" w14:paraId="0000000B">
            <w:pPr>
              <w:numPr>
                <w:ilvl w:val="1"/>
                <w:numId w:val="1"/>
              </w:numPr>
              <w:tabs>
                <w:tab w:val="left" w:pos="175"/>
              </w:tabs>
              <w:spacing w:after="120" w:lineRule="auto"/>
              <w:ind w:left="720" w:hanging="544"/>
              <w:jc w:val="left"/>
              <w:rPr/>
            </w:pPr>
            <w:r w:rsidDel="00000000" w:rsidR="00000000" w:rsidRPr="00000000">
              <w:rPr>
                <w:rFonts w:ascii="Arial" w:cs="Arial" w:eastAsia="Arial" w:hAnsi="Arial"/>
                <w:color w:val="000000"/>
                <w:sz w:val="24"/>
                <w:szCs w:val="24"/>
                <w:rtl w:val="0"/>
              </w:rPr>
              <w:t xml:space="preserve">Monitored Company committing a material breach of covenant to its lenders; </w:t>
            </w:r>
            <w:r w:rsidDel="00000000" w:rsidR="00000000" w:rsidRPr="00000000">
              <w:rPr>
                <w:rtl w:val="0"/>
              </w:rPr>
            </w:r>
          </w:p>
          <w:p w:rsidR="00000000" w:rsidDel="00000000" w:rsidP="00000000" w:rsidRDefault="00000000" w:rsidRPr="00000000" w14:paraId="0000000C">
            <w:pPr>
              <w:numPr>
                <w:ilvl w:val="1"/>
                <w:numId w:val="1"/>
              </w:numPr>
              <w:tabs>
                <w:tab w:val="left" w:pos="175"/>
              </w:tabs>
              <w:spacing w:after="120" w:lineRule="auto"/>
              <w:ind w:left="720" w:hanging="544"/>
              <w:jc w:val="left"/>
              <w:rPr/>
            </w:pPr>
            <w:r w:rsidDel="00000000" w:rsidR="00000000" w:rsidRPr="00000000">
              <w:rPr>
                <w:rFonts w:ascii="Arial" w:cs="Arial" w:eastAsia="Arial" w:hAnsi="Arial"/>
                <w:color w:val="000000"/>
                <w:sz w:val="24"/>
                <w:szCs w:val="24"/>
                <w:rtl w:val="0"/>
              </w:rPr>
              <w:t xml:space="preserve">a Key Subcontractor (where applicable) notifying CCS that the Supplier has not satisfied any sums properly due under a specified invoice and not subject to a genuine dispute; or</w:t>
            </w:r>
            <w:r w:rsidDel="00000000" w:rsidR="00000000" w:rsidRPr="00000000">
              <w:rPr>
                <w:rtl w:val="0"/>
              </w:rPr>
            </w:r>
          </w:p>
          <w:p w:rsidR="00000000" w:rsidDel="00000000" w:rsidP="00000000" w:rsidRDefault="00000000" w:rsidRPr="00000000" w14:paraId="0000000D">
            <w:pPr>
              <w:numPr>
                <w:ilvl w:val="1"/>
                <w:numId w:val="1"/>
              </w:numPr>
              <w:tabs>
                <w:tab w:val="left" w:pos="175"/>
              </w:tabs>
              <w:spacing w:after="120" w:lineRule="auto"/>
              <w:ind w:left="720" w:hanging="544"/>
              <w:jc w:val="left"/>
              <w:rPr/>
            </w:pPr>
            <w:r w:rsidDel="00000000" w:rsidR="00000000" w:rsidRPr="00000000">
              <w:rPr>
                <w:rFonts w:ascii="Arial" w:cs="Arial" w:eastAsia="Arial" w:hAnsi="Arial"/>
                <w:color w:val="000000"/>
                <w:sz w:val="24"/>
                <w:szCs w:val="24"/>
                <w:rtl w:val="0"/>
              </w:rPr>
              <w:t xml:space="preserve">any of the following:</w:t>
            </w:r>
            <w:r w:rsidDel="00000000" w:rsidR="00000000" w:rsidRPr="00000000">
              <w:rPr>
                <w:rtl w:val="0"/>
              </w:rPr>
            </w:r>
          </w:p>
          <w:p w:rsidR="00000000" w:rsidDel="00000000" w:rsidP="00000000" w:rsidRDefault="00000000" w:rsidRPr="00000000" w14:paraId="0000000E">
            <w:pPr>
              <w:numPr>
                <w:ilvl w:val="2"/>
                <w:numId w:val="1"/>
              </w:numPr>
              <w:tabs>
                <w:tab w:val="left" w:pos="175"/>
              </w:tabs>
              <w:spacing w:after="120" w:lineRule="auto"/>
              <w:ind w:left="1080" w:hanging="360"/>
              <w:jc w:val="left"/>
              <w:rPr>
                <w:color w:val="000000"/>
              </w:rPr>
            </w:pPr>
            <w:r w:rsidDel="00000000" w:rsidR="00000000" w:rsidRPr="00000000">
              <w:rPr>
                <w:rFonts w:ascii="Arial" w:cs="Arial" w:eastAsia="Arial" w:hAnsi="Arial"/>
                <w:color w:val="000000"/>
                <w:sz w:val="24"/>
                <w:szCs w:val="24"/>
                <w:rtl w:val="0"/>
              </w:rPr>
              <w:t xml:space="preserve">commencement of any litigation against the Monitored Company with respect to financial indebtedness or obligations under a contract; </w:t>
            </w:r>
            <w:r w:rsidDel="00000000" w:rsidR="00000000" w:rsidRPr="00000000">
              <w:rPr>
                <w:rtl w:val="0"/>
              </w:rPr>
            </w:r>
          </w:p>
          <w:p w:rsidR="00000000" w:rsidDel="00000000" w:rsidP="00000000" w:rsidRDefault="00000000" w:rsidRPr="00000000" w14:paraId="0000000F">
            <w:pPr>
              <w:numPr>
                <w:ilvl w:val="2"/>
                <w:numId w:val="1"/>
              </w:numPr>
              <w:tabs>
                <w:tab w:val="left" w:pos="175"/>
              </w:tabs>
              <w:spacing w:after="120" w:lineRule="auto"/>
              <w:ind w:left="1080" w:hanging="360"/>
              <w:jc w:val="left"/>
              <w:rPr>
                <w:color w:val="000000"/>
              </w:rPr>
            </w:pPr>
            <w:r w:rsidDel="00000000" w:rsidR="00000000" w:rsidRPr="00000000">
              <w:rPr>
                <w:rFonts w:ascii="Arial" w:cs="Arial" w:eastAsia="Arial" w:hAnsi="Arial"/>
                <w:color w:val="000000"/>
                <w:sz w:val="24"/>
                <w:szCs w:val="24"/>
                <w:rtl w:val="0"/>
              </w:rPr>
              <w:t xml:space="preserve">non-payment by the Monitored Company of any financial indebtedness;</w:t>
            </w:r>
            <w:r w:rsidDel="00000000" w:rsidR="00000000" w:rsidRPr="00000000">
              <w:rPr>
                <w:rtl w:val="0"/>
              </w:rPr>
            </w:r>
          </w:p>
          <w:p w:rsidR="00000000" w:rsidDel="00000000" w:rsidP="00000000" w:rsidRDefault="00000000" w:rsidRPr="00000000" w14:paraId="00000010">
            <w:pPr>
              <w:numPr>
                <w:ilvl w:val="2"/>
                <w:numId w:val="1"/>
              </w:numPr>
              <w:tabs>
                <w:tab w:val="left" w:pos="175"/>
              </w:tabs>
              <w:spacing w:after="120" w:lineRule="auto"/>
              <w:ind w:left="1080" w:hanging="360"/>
              <w:jc w:val="left"/>
              <w:rPr>
                <w:color w:val="000000"/>
              </w:rPr>
            </w:pPr>
            <w:r w:rsidDel="00000000" w:rsidR="00000000" w:rsidRPr="00000000">
              <w:rPr>
                <w:rFonts w:ascii="Arial" w:cs="Arial" w:eastAsia="Arial" w:hAnsi="Arial"/>
                <w:color w:val="000000"/>
                <w:sz w:val="24"/>
                <w:szCs w:val="24"/>
                <w:rtl w:val="0"/>
              </w:rPr>
              <w:t xml:space="preserve">any financial indebtedness of the Monitored Company becoming due as a result of an event of default; or</w:t>
            </w:r>
            <w:r w:rsidDel="00000000" w:rsidR="00000000" w:rsidRPr="00000000">
              <w:rPr>
                <w:rtl w:val="0"/>
              </w:rPr>
            </w:r>
          </w:p>
          <w:p w:rsidR="00000000" w:rsidDel="00000000" w:rsidP="00000000" w:rsidRDefault="00000000" w:rsidRPr="00000000" w14:paraId="00000011">
            <w:pPr>
              <w:numPr>
                <w:ilvl w:val="2"/>
                <w:numId w:val="1"/>
              </w:numPr>
              <w:tabs>
                <w:tab w:val="left" w:pos="175"/>
              </w:tabs>
              <w:spacing w:after="120" w:lineRule="auto"/>
              <w:ind w:left="1080" w:hanging="360"/>
              <w:jc w:val="left"/>
              <w:rPr>
                <w:color w:val="000000"/>
              </w:rPr>
            </w:pPr>
            <w:r w:rsidDel="00000000" w:rsidR="00000000" w:rsidRPr="00000000">
              <w:rPr>
                <w:rFonts w:ascii="Arial" w:cs="Arial" w:eastAsia="Arial" w:hAnsi="Arial"/>
                <w:color w:val="000000"/>
                <w:sz w:val="24"/>
                <w:szCs w:val="24"/>
                <w:rtl w:val="0"/>
              </w:rPr>
              <w:t xml:space="preserve">the cancellation or suspension of any financial indebtedness in respect of the Monitored Company</w:t>
            </w:r>
            <w:r w:rsidDel="00000000" w:rsidR="00000000" w:rsidRPr="00000000">
              <w:rPr>
                <w:rtl w:val="0"/>
              </w:rPr>
            </w:r>
          </w:p>
          <w:p w:rsidR="00000000" w:rsidDel="00000000" w:rsidP="00000000" w:rsidRDefault="00000000" w:rsidRPr="00000000" w14:paraId="00000012">
            <w:pPr>
              <w:numPr>
                <w:ilvl w:val="0"/>
                <w:numId w:val="1"/>
              </w:numPr>
              <w:tabs>
                <w:tab w:val="left" w:pos="175"/>
              </w:tabs>
              <w:spacing w:after="120" w:lineRule="auto"/>
              <w:ind w:left="170" w:hanging="170"/>
              <w:jc w:val="left"/>
              <w:rPr>
                <w:color w:val="000000"/>
              </w:rPr>
            </w:pPr>
            <w:r w:rsidDel="00000000" w:rsidR="00000000" w:rsidRPr="00000000">
              <w:rPr>
                <w:rFonts w:ascii="Arial" w:cs="Arial" w:eastAsia="Arial" w:hAnsi="Arial"/>
                <w:color w:val="000000"/>
                <w:sz w:val="24"/>
                <w:szCs w:val="24"/>
                <w:rtl w:val="0"/>
              </w:rPr>
              <w:t xml:space="preserve">in each case which CCS reasonably believes (or would be likely reasonably to believe) could directly impact on the continued performance of any Contract and delivery of the Deliverables in accordance with any Call-Off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Service Continuity Plan"</w:t>
            </w:r>
          </w:p>
        </w:tc>
        <w:tc>
          <w:tcPr>
            <w:shd w:fill="auto" w:val="clear"/>
          </w:tcPr>
          <w:p w:rsidR="00000000" w:rsidDel="00000000" w:rsidP="00000000" w:rsidRDefault="00000000" w:rsidRPr="00000000" w14:paraId="00000014">
            <w:pPr>
              <w:numPr>
                <w:ilvl w:val="0"/>
                <w:numId w:val="1"/>
              </w:numPr>
              <w:tabs>
                <w:tab w:val="left" w:pos="175"/>
              </w:tabs>
              <w:spacing w:after="120" w:lineRule="auto"/>
              <w:ind w:left="170" w:hanging="170"/>
              <w:jc w:val="left"/>
              <w:rPr>
                <w:color w:val="000000"/>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[each Call-Off] Contract in the event that a Financial Distress Event occurs;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Company”</w:t>
            </w:r>
          </w:p>
        </w:tc>
        <w:tc>
          <w:tcPr>
            <w:shd w:fill="auto" w:val="clear"/>
          </w:tcPr>
          <w:p w:rsidR="00000000" w:rsidDel="00000000" w:rsidP="00000000" w:rsidRDefault="00000000" w:rsidRPr="00000000" w14:paraId="00000016">
            <w:pPr>
              <w:numPr>
                <w:ilvl w:val="0"/>
                <w:numId w:val="1"/>
              </w:numPr>
              <w:tabs>
                <w:tab w:val="left" w:pos="175"/>
              </w:tabs>
              <w:spacing w:after="120" w:lineRule="auto"/>
              <w:ind w:left="170" w:hanging="170"/>
              <w:jc w:val="left"/>
              <w:rPr/>
            </w:pPr>
            <w:r w:rsidDel="00000000" w:rsidR="00000000" w:rsidRPr="00000000">
              <w:rPr>
                <w:rFonts w:ascii="Arial" w:cs="Arial" w:eastAsia="Arial" w:hAnsi="Arial"/>
                <w:color w:val="000000"/>
                <w:sz w:val="24"/>
                <w:szCs w:val="24"/>
                <w:rtl w:val="0"/>
              </w:rPr>
              <w:t xml:space="preserve">Supplier</w:t>
            </w:r>
            <w:r w:rsidDel="00000000" w:rsidR="00000000" w:rsidRPr="00000000">
              <w:rPr>
                <w:rFonts w:ascii="Arial" w:cs="Arial" w:eastAsia="Arial" w:hAnsi="Arial"/>
                <w:sz w:val="24"/>
                <w:szCs w:val="24"/>
                <w:rtl w:val="0"/>
              </w:rPr>
              <w:t xml:space="preserve"> / </w:t>
            </w:r>
            <w:r w:rsidDel="00000000" w:rsidR="00000000" w:rsidRPr="00000000">
              <w:rPr>
                <w:rFonts w:ascii="Arial" w:cs="Arial" w:eastAsia="Arial" w:hAnsi="Arial"/>
                <w:color w:val="000000"/>
                <w:sz w:val="24"/>
                <w:szCs w:val="24"/>
                <w:rtl w:val="0"/>
              </w:rPr>
              <w:t xml:space="preserve">the Framework Guarantor/ or any Key Subcontractor</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7">
            <w:pP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shd w:fill="auto" w:val="clear"/>
          </w:tcPr>
          <w:p w:rsidR="00000000" w:rsidDel="00000000" w:rsidP="00000000" w:rsidRDefault="00000000" w:rsidRPr="00000000" w14:paraId="00000018">
            <w:pPr>
              <w:numPr>
                <w:ilvl w:val="0"/>
                <w:numId w:val="1"/>
              </w:numPr>
              <w:tabs>
                <w:tab w:val="left" w:pos="175"/>
              </w:tabs>
              <w:spacing w:after="120" w:lineRule="auto"/>
              <w:ind w:left="170" w:hanging="170"/>
              <w:jc w:val="left"/>
              <w:rPr>
                <w:color w:val="000000"/>
              </w:rPr>
            </w:pPr>
            <w:r w:rsidDel="00000000" w:rsidR="00000000" w:rsidRPr="00000000">
              <w:rPr>
                <w:rFonts w:ascii="Arial" w:cs="Arial" w:eastAsia="Arial" w:hAnsi="Arial"/>
                <w:color w:val="000000"/>
                <w:sz w:val="24"/>
                <w:szCs w:val="24"/>
                <w:rtl w:val="0"/>
              </w:rPr>
              <w:t xml:space="preserve">the rating agencies listed in Annex 1.</w:t>
            </w:r>
            <w:r w:rsidDel="00000000" w:rsidR="00000000" w:rsidRPr="00000000">
              <w:rPr>
                <w:rtl w:val="0"/>
              </w:rPr>
            </w:r>
          </w:p>
        </w:tc>
      </w:tr>
    </w:tbl>
    <w:p w:rsidR="00000000" w:rsidDel="00000000" w:rsidP="00000000" w:rsidRDefault="00000000" w:rsidRPr="00000000" w14:paraId="00000019">
      <w:pPr>
        <w:keepNext w:val="1"/>
        <w:numPr>
          <w:ilvl w:val="0"/>
          <w:numId w:val="2"/>
        </w:numPr>
        <w:tabs>
          <w:tab w:val="left" w:pos="142"/>
        </w:tabs>
        <w:spacing w:before="120" w:lineRule="auto"/>
        <w:ind w:left="360" w:hanging="360"/>
        <w:jc w:val="left"/>
        <w:rPr/>
      </w:pPr>
      <w:bookmarkStart w:colFirst="0" w:colLast="0" w:name="_heading=h.30j0zll" w:id="1"/>
      <w:bookmarkEnd w:id="1"/>
      <w:r w:rsidDel="00000000" w:rsidR="00000000" w:rsidRPr="00000000">
        <w:rPr>
          <w:rFonts w:ascii="Arial Bold" w:cs="Arial Bold" w:eastAsia="Arial Bold" w:hAnsi="Arial Bold"/>
          <w:b w:val="1"/>
          <w:color w:val="000000"/>
          <w:sz w:val="24"/>
          <w:szCs w:val="24"/>
          <w:rtl w:val="0"/>
        </w:rPr>
        <w:t xml:space="preserve">When this Schedule applies</w:t>
      </w:r>
      <w:r w:rsidDel="00000000" w:rsidR="00000000" w:rsidRPr="00000000">
        <w:rPr>
          <w:rtl w:val="0"/>
        </w:rPr>
      </w:r>
    </w:p>
    <w:p w:rsidR="00000000" w:rsidDel="00000000" w:rsidP="00000000" w:rsidRDefault="00000000" w:rsidRPr="00000000" w14:paraId="0000001A">
      <w:pPr>
        <w:numPr>
          <w:ilvl w:val="1"/>
          <w:numId w:val="2"/>
        </w:numPr>
        <w:tabs>
          <w:tab w:val="left"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Parties shall comply with the provisions of this Schedule in relation to the assessment of the financial standing of the Monitored Companies and the consequences of a change to that financial standing.</w:t>
      </w:r>
      <w:r w:rsidDel="00000000" w:rsidR="00000000" w:rsidRPr="00000000">
        <w:rPr>
          <w:rtl w:val="0"/>
        </w:rPr>
      </w:r>
    </w:p>
    <w:p w:rsidR="00000000" w:rsidDel="00000000" w:rsidP="00000000" w:rsidRDefault="00000000" w:rsidRPr="00000000" w14:paraId="0000001B">
      <w:pPr>
        <w:numPr>
          <w:ilvl w:val="1"/>
          <w:numId w:val="2"/>
        </w:numPr>
        <w:tabs>
          <w:tab w:val="left"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    The terms of this Schedule shall survive: </w:t>
      </w:r>
      <w:r w:rsidDel="00000000" w:rsidR="00000000" w:rsidRPr="00000000">
        <w:rPr>
          <w:rtl w:val="0"/>
        </w:rPr>
      </w:r>
    </w:p>
    <w:p w:rsidR="00000000" w:rsidDel="00000000" w:rsidP="00000000" w:rsidRDefault="00000000" w:rsidRPr="00000000" w14:paraId="0000001C">
      <w:pPr>
        <w:numPr>
          <w:ilvl w:val="2"/>
          <w:numId w:val="2"/>
        </w:numPr>
        <w:tabs>
          <w:tab w:val="left"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r w:rsidDel="00000000" w:rsidR="00000000" w:rsidRPr="00000000">
        <w:rPr>
          <w:rtl w:val="0"/>
        </w:rPr>
      </w:r>
    </w:p>
    <w:p w:rsidR="00000000" w:rsidDel="00000000" w:rsidP="00000000" w:rsidRDefault="00000000" w:rsidRPr="00000000" w14:paraId="0000001D">
      <w:pPr>
        <w:numPr>
          <w:ilvl w:val="2"/>
          <w:numId w:val="2"/>
        </w:numPr>
        <w:tabs>
          <w:tab w:val="left"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r w:rsidDel="00000000" w:rsidR="00000000" w:rsidRPr="00000000">
        <w:rPr>
          <w:rtl w:val="0"/>
        </w:rPr>
      </w:r>
    </w:p>
    <w:p w:rsidR="00000000" w:rsidDel="00000000" w:rsidP="00000000" w:rsidRDefault="00000000" w:rsidRPr="00000000" w14:paraId="0000001E">
      <w:pPr>
        <w:keepNext w:val="1"/>
        <w:numPr>
          <w:ilvl w:val="0"/>
          <w:numId w:val="2"/>
        </w:numPr>
        <w:tabs>
          <w:tab w:val="left" w:pos="142"/>
        </w:tabs>
        <w:spacing w:before="120" w:lineRule="auto"/>
        <w:ind w:left="360" w:hanging="360"/>
        <w:jc w:val="left"/>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01F">
      <w:pPr>
        <w:numPr>
          <w:ilvl w:val="1"/>
          <w:numId w:val="2"/>
        </w:numPr>
        <w:tabs>
          <w:tab w:val="left" w:pos="1134"/>
        </w:tabs>
        <w:spacing w:after="120" w:before="120" w:lineRule="auto"/>
        <w:ind w:left="644" w:hanging="360"/>
        <w:jc w:val="left"/>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warrants and represents to CCS that as at the Start Date the long term credit ratings issued for the Monitored Companies by each of the Rating Agencies are as set out in Annex 2. </w:t>
      </w:r>
      <w:r w:rsidDel="00000000" w:rsidR="00000000" w:rsidRPr="00000000">
        <w:rPr>
          <w:rtl w:val="0"/>
        </w:rPr>
      </w:r>
    </w:p>
    <w:p w:rsidR="00000000" w:rsidDel="00000000" w:rsidP="00000000" w:rsidRDefault="00000000" w:rsidRPr="00000000" w14:paraId="00000020">
      <w:pPr>
        <w:numPr>
          <w:ilvl w:val="1"/>
          <w:numId w:val="2"/>
        </w:numPr>
        <w:tabs>
          <w:tab w:val="left"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Supplier shall promptly (and in any event within five (5) Working Days) notify CCS in writing if there is any downgrade in the credit rating issued by any Rating Agency for a Monitored Company.</w:t>
      </w:r>
      <w:r w:rsidDel="00000000" w:rsidR="00000000" w:rsidRPr="00000000">
        <w:rPr>
          <w:rtl w:val="0"/>
        </w:rPr>
      </w:r>
    </w:p>
    <w:p w:rsidR="00000000" w:rsidDel="00000000" w:rsidP="00000000" w:rsidRDefault="00000000" w:rsidRPr="00000000" w14:paraId="00000021">
      <w:pPr>
        <w:numPr>
          <w:ilvl w:val="1"/>
          <w:numId w:val="2"/>
        </w:numPr>
        <w:tabs>
          <w:tab w:val="left"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r w:rsidDel="00000000" w:rsidR="00000000" w:rsidRPr="00000000">
        <w:rPr>
          <w:rtl w:val="0"/>
        </w:rPr>
      </w:r>
    </w:p>
    <w:p w:rsidR="00000000" w:rsidDel="00000000" w:rsidP="00000000" w:rsidRDefault="00000000" w:rsidRPr="00000000" w14:paraId="00000022">
      <w:pPr>
        <w:ind w:firstLine="1134"/>
        <w:jc w:val="left"/>
        <w:rPr/>
      </w:pPr>
      <w:bookmarkStart w:colFirst="0" w:colLast="0" w:name="_heading=h.3znysh7" w:id="3"/>
      <w:bookmarkEnd w:id="3"/>
      <w:r w:rsidDel="00000000" w:rsidR="00000000" w:rsidRPr="00000000">
        <w:rPr/>
        <w:drawing>
          <wp:inline distB="0" distT="0" distL="0" distR="0">
            <wp:extent cx="609600" cy="163195"/>
            <wp:effectExtent b="0" l="0" r="0" t="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drawing>
          <wp:inline distB="0" distT="0" distL="0" distR="0">
            <wp:extent cx="609600" cy="315595"/>
            <wp:effectExtent b="0" l="0" r="0" t="0"/>
            <wp:docPr id="6"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tabs>
          <w:tab w:val="left" w:pos="3402"/>
        </w:tabs>
        <w:spacing w:after="22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tbl>
      <w:tblPr>
        <w:tblStyle w:val="Table2"/>
        <w:tblW w:w="8317.0" w:type="dxa"/>
        <w:jc w:val="left"/>
        <w:tblInd w:w="709.0" w:type="dxa"/>
        <w:tblLayout w:type="fixed"/>
        <w:tblLook w:val="0000"/>
      </w:tblPr>
      <w:tblGrid>
        <w:gridCol w:w="1523"/>
        <w:gridCol w:w="6794"/>
        <w:tblGridChange w:id="0">
          <w:tblGrid>
            <w:gridCol w:w="1523"/>
            <w:gridCol w:w="6794"/>
          </w:tblGrid>
        </w:tblGridChange>
      </w:tblGrid>
      <w:tr>
        <w:trPr>
          <w:cantSplit w:val="0"/>
          <w:tblHeader w:val="0"/>
        </w:trPr>
        <w:tc>
          <w:tcPr>
            <w:shd w:fill="auto" w:val="clear"/>
          </w:tcPr>
          <w:p w:rsidR="00000000" w:rsidDel="00000000" w:rsidP="00000000" w:rsidRDefault="00000000" w:rsidRPr="00000000" w14:paraId="00000024">
            <w:pP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r>
          </w:p>
        </w:tc>
        <w:tc>
          <w:tcPr>
            <w:shd w:fill="auto" w:val="clear"/>
          </w:tcPr>
          <w:p w:rsidR="00000000" w:rsidDel="00000000" w:rsidP="00000000" w:rsidRDefault="00000000" w:rsidRPr="00000000" w14:paraId="00000025">
            <w:pP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cash in hand and at the bank of the Monitored Company];</w:t>
            </w:r>
          </w:p>
        </w:tc>
      </w:tr>
      <w:tr>
        <w:trPr>
          <w:cantSplit w:val="0"/>
          <w:tblHeader w:val="0"/>
        </w:trPr>
        <w:tc>
          <w:tcPr>
            <w:shd w:fill="auto" w:val="clear"/>
          </w:tcPr>
          <w:p w:rsidR="00000000" w:rsidDel="00000000" w:rsidP="00000000" w:rsidRDefault="00000000" w:rsidRPr="00000000" w14:paraId="00000026">
            <w:pP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r>
          </w:p>
        </w:tc>
        <w:tc>
          <w:tcPr>
            <w:shd w:fill="auto" w:val="clear"/>
          </w:tcPr>
          <w:p w:rsidR="00000000" w:rsidDel="00000000" w:rsidP="00000000" w:rsidRDefault="00000000" w:rsidRPr="00000000" w14:paraId="00000027">
            <w:pP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of all marketable securities held by the Supplier the Monitored Company determined using closing prices on the Working Day preceding the relevant date; </w:t>
            </w:r>
          </w:p>
        </w:tc>
      </w:tr>
      <w:tr>
        <w:trPr>
          <w:cantSplit w:val="0"/>
          <w:tblHeader w:val="0"/>
        </w:trPr>
        <w:tc>
          <w:tcPr>
            <w:shd w:fill="auto" w:val="clear"/>
          </w:tcPr>
          <w:p w:rsidR="00000000" w:rsidDel="00000000" w:rsidP="00000000" w:rsidRDefault="00000000" w:rsidRPr="00000000" w14:paraId="00000028">
            <w:pP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r>
          </w:p>
        </w:tc>
        <w:tc>
          <w:tcPr>
            <w:shd w:fill="auto" w:val="clear"/>
          </w:tcPr>
          <w:p w:rsidR="00000000" w:rsidDel="00000000" w:rsidP="00000000" w:rsidRDefault="00000000" w:rsidRPr="00000000" w14:paraId="00000029">
            <w:pP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account receivables of the Monitored]; and</w:t>
            </w:r>
          </w:p>
        </w:tc>
      </w:tr>
      <w:tr>
        <w:trPr>
          <w:cantSplit w:val="0"/>
          <w:tblHeader w:val="0"/>
        </w:trPr>
        <w:tc>
          <w:tcPr>
            <w:shd w:fill="auto" w:val="clear"/>
          </w:tcPr>
          <w:p w:rsidR="00000000" w:rsidDel="00000000" w:rsidP="00000000" w:rsidRDefault="00000000" w:rsidRPr="00000000" w14:paraId="0000002A">
            <w:pP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r>
          </w:p>
        </w:tc>
        <w:tc>
          <w:tcPr>
            <w:shd w:fill="auto" w:val="clear"/>
          </w:tcPr>
          <w:p w:rsidR="00000000" w:rsidDel="00000000" w:rsidP="00000000" w:rsidRDefault="00000000" w:rsidRPr="00000000" w14:paraId="0000002B">
            <w:pP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the current liabilities of the Monitored Company].</w:t>
            </w:r>
          </w:p>
        </w:tc>
      </w:tr>
    </w:tbl>
    <w:p w:rsidR="00000000" w:rsidDel="00000000" w:rsidP="00000000" w:rsidRDefault="00000000" w:rsidRPr="00000000" w14:paraId="0000002C">
      <w:pPr>
        <w:keepNext w:val="1"/>
        <w:numPr>
          <w:ilvl w:val="1"/>
          <w:numId w:val="2"/>
        </w:numPr>
        <w:tabs>
          <w:tab w:val="left" w:pos="1134"/>
        </w:tabs>
        <w:spacing w:after="120" w:before="120" w:lineRule="auto"/>
        <w:ind w:left="644" w:hanging="360"/>
        <w:jc w:val="left"/>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Supplier shall: </w:t>
      </w:r>
      <w:r w:rsidDel="00000000" w:rsidR="00000000" w:rsidRPr="00000000">
        <w:rPr>
          <w:rtl w:val="0"/>
        </w:rPr>
      </w:r>
    </w:p>
    <w:p w:rsidR="00000000" w:rsidDel="00000000" w:rsidP="00000000" w:rsidRDefault="00000000" w:rsidRPr="00000000" w14:paraId="0000002D">
      <w:pPr>
        <w:numPr>
          <w:ilvl w:val="2"/>
          <w:numId w:val="2"/>
        </w:numPr>
        <w:tabs>
          <w:tab w:val="left"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regularly monitor the credit ratings of each Monitored Company with the Rating Agencies; and </w:t>
      </w:r>
      <w:r w:rsidDel="00000000" w:rsidR="00000000" w:rsidRPr="00000000">
        <w:rPr>
          <w:rtl w:val="0"/>
        </w:rPr>
      </w:r>
    </w:p>
    <w:p w:rsidR="00000000" w:rsidDel="00000000" w:rsidP="00000000" w:rsidRDefault="00000000" w:rsidRPr="00000000" w14:paraId="0000002E">
      <w:pPr>
        <w:numPr>
          <w:ilvl w:val="2"/>
          <w:numId w:val="2"/>
        </w:numPr>
        <w:tabs>
          <w:tab w:val="left"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r w:rsidDel="00000000" w:rsidR="00000000" w:rsidRPr="00000000">
        <w:rPr>
          <w:rtl w:val="0"/>
        </w:rPr>
      </w:r>
    </w:p>
    <w:p w:rsidR="00000000" w:rsidDel="00000000" w:rsidP="00000000" w:rsidRDefault="00000000" w:rsidRPr="00000000" w14:paraId="0000002F">
      <w:pPr>
        <w:numPr>
          <w:ilvl w:val="1"/>
          <w:numId w:val="2"/>
        </w:numPr>
        <w:tabs>
          <w:tab w:val="left"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r w:rsidDel="00000000" w:rsidR="00000000" w:rsidRPr="00000000">
        <w:rPr>
          <w:rtl w:val="0"/>
        </w:rPr>
      </w:r>
    </w:p>
    <w:p w:rsidR="00000000" w:rsidDel="00000000" w:rsidP="00000000" w:rsidRDefault="00000000" w:rsidRPr="00000000" w14:paraId="00000030">
      <w:pPr>
        <w:keepNext w:val="1"/>
        <w:numPr>
          <w:ilvl w:val="0"/>
          <w:numId w:val="2"/>
        </w:numPr>
        <w:tabs>
          <w:tab w:val="left"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031">
      <w:pPr>
        <w:numPr>
          <w:ilvl w:val="1"/>
          <w:numId w:val="2"/>
        </w:numPr>
        <w:tabs>
          <w:tab w:val="left" w:pos="1134"/>
        </w:tabs>
        <w:spacing w:after="120" w:before="120" w:lineRule="auto"/>
        <w:ind w:left="644" w:hanging="360"/>
        <w:jc w:val="left"/>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r w:rsidDel="00000000" w:rsidR="00000000" w:rsidRPr="00000000">
        <w:rPr>
          <w:rtl w:val="0"/>
        </w:rPr>
      </w:r>
    </w:p>
    <w:p w:rsidR="00000000" w:rsidDel="00000000" w:rsidP="00000000" w:rsidRDefault="00000000" w:rsidRPr="00000000" w14:paraId="00000032">
      <w:pPr>
        <w:tabs>
          <w:tab w:val="left" w:pos="1134"/>
        </w:tabs>
        <w:spacing w:after="120" w:before="120" w:lineRule="auto"/>
        <w:ind w:left="936" w:hanging="576"/>
        <w:jc w:val="left"/>
        <w:rPr>
          <w:rFonts w:ascii="Arial" w:cs="Arial" w:eastAsia="Arial" w:hAnsi="Arial"/>
          <w:color w:val="000000"/>
          <w:sz w:val="24"/>
          <w:szCs w:val="24"/>
        </w:rPr>
      </w:pPr>
      <w:bookmarkStart w:colFirst="0" w:colLast="0" w:name="_heading=h.3dy6vkm" w:id="6"/>
      <w:bookmarkEnd w:id="6"/>
      <w:r w:rsidDel="00000000" w:rsidR="00000000" w:rsidRPr="00000000">
        <w:rPr>
          <w:rtl w:val="0"/>
        </w:rPr>
      </w:r>
    </w:p>
    <w:p w:rsidR="00000000" w:rsidDel="00000000" w:rsidP="00000000" w:rsidRDefault="00000000" w:rsidRPr="00000000" w14:paraId="00000033">
      <w:pPr>
        <w:numPr>
          <w:ilvl w:val="1"/>
          <w:numId w:val="2"/>
        </w:numPr>
        <w:tabs>
          <w:tab w:val="left"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r w:rsidDel="00000000" w:rsidR="00000000" w:rsidRPr="00000000">
        <w:rPr>
          <w:rtl w:val="0"/>
        </w:rPr>
      </w:r>
    </w:p>
    <w:p w:rsidR="00000000" w:rsidDel="00000000" w:rsidP="00000000" w:rsidRDefault="00000000" w:rsidRPr="00000000" w14:paraId="00000034">
      <w:pPr>
        <w:numPr>
          <w:ilvl w:val="2"/>
          <w:numId w:val="2"/>
        </w:numPr>
        <w:tabs>
          <w:tab w:val="left"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rectify such late or non-payment; or </w:t>
      </w:r>
      <w:r w:rsidDel="00000000" w:rsidR="00000000" w:rsidRPr="00000000">
        <w:rPr>
          <w:rtl w:val="0"/>
        </w:rPr>
      </w:r>
    </w:p>
    <w:p w:rsidR="00000000" w:rsidDel="00000000" w:rsidP="00000000" w:rsidRDefault="00000000" w:rsidRPr="00000000" w14:paraId="00000035">
      <w:pPr>
        <w:numPr>
          <w:ilvl w:val="2"/>
          <w:numId w:val="2"/>
        </w:numPr>
        <w:tabs>
          <w:tab w:val="left"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demonstrate to CCS's reasonable satisfaction that there is a valid reason for late or non-payment.]</w:t>
      </w:r>
      <w:r w:rsidDel="00000000" w:rsidR="00000000" w:rsidRPr="00000000">
        <w:rPr>
          <w:rtl w:val="0"/>
        </w:rPr>
      </w:r>
    </w:p>
    <w:p w:rsidR="00000000" w:rsidDel="00000000" w:rsidP="00000000" w:rsidRDefault="00000000" w:rsidRPr="00000000" w14:paraId="00000036">
      <w:pPr>
        <w:keepNext w:val="1"/>
        <w:numPr>
          <w:ilvl w:val="1"/>
          <w:numId w:val="2"/>
        </w:numPr>
        <w:tabs>
          <w:tab w:val="left" w:pos="1134"/>
        </w:tabs>
        <w:spacing w:after="120" w:before="120" w:lineRule="auto"/>
        <w:ind w:left="644" w:hanging="360"/>
        <w:jc w:val="left"/>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and shall procure that the other Monitored Companies shall:</w:t>
      </w:r>
      <w:r w:rsidDel="00000000" w:rsidR="00000000" w:rsidRPr="00000000">
        <w:rPr>
          <w:rtl w:val="0"/>
        </w:rPr>
      </w:r>
    </w:p>
    <w:p w:rsidR="00000000" w:rsidDel="00000000" w:rsidP="00000000" w:rsidRDefault="00000000" w:rsidRPr="00000000" w14:paraId="00000037">
      <w:pPr>
        <w:numPr>
          <w:ilvl w:val="2"/>
          <w:numId w:val="2"/>
        </w:numPr>
        <w:tabs>
          <w:tab w:val="left" w:pos="1985"/>
        </w:tabs>
        <w:spacing w:after="120" w:before="120" w:lineRule="auto"/>
        <w:ind w:left="2422" w:hanging="720"/>
        <w:jc w:val="left"/>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r w:rsidDel="00000000" w:rsidR="00000000" w:rsidRPr="00000000">
        <w:rPr>
          <w:rtl w:val="0"/>
        </w:rPr>
      </w:r>
    </w:p>
    <w:p w:rsidR="00000000" w:rsidDel="00000000" w:rsidP="00000000" w:rsidRDefault="00000000" w:rsidRPr="00000000" w14:paraId="00000038">
      <w:pPr>
        <w:numPr>
          <w:ilvl w:val="2"/>
          <w:numId w:val="2"/>
        </w:numPr>
        <w:tabs>
          <w:tab w:val="left" w:pos="1985"/>
        </w:tabs>
        <w:spacing w:after="120" w:before="120" w:lineRule="auto"/>
        <w:ind w:left="2422" w:hanging="720"/>
        <w:jc w:val="left"/>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r w:rsidDel="00000000" w:rsidR="00000000" w:rsidRPr="00000000">
        <w:rPr>
          <w:rtl w:val="0"/>
        </w:rPr>
      </w:r>
    </w:p>
    <w:p w:rsidR="00000000" w:rsidDel="00000000" w:rsidP="00000000" w:rsidRDefault="00000000" w:rsidRPr="00000000" w14:paraId="00000039">
      <w:pPr>
        <w:numPr>
          <w:ilvl w:val="3"/>
          <w:numId w:val="2"/>
        </w:numPr>
        <w:tabs>
          <w:tab w:val="left" w:pos="1985"/>
        </w:tabs>
        <w:spacing w:after="120" w:before="120" w:lineRule="auto"/>
        <w:ind w:left="2847" w:hanging="720"/>
        <w:jc w:val="left"/>
        <w:rPr/>
      </w:pPr>
      <w:r w:rsidDel="00000000" w:rsidR="00000000" w:rsidRPr="00000000">
        <w:rPr>
          <w:rFonts w:ascii="Arial" w:cs="Arial" w:eastAsia="Arial" w:hAnsi="Arial"/>
          <w:color w:val="000000"/>
          <w:sz w:val="24"/>
          <w:szCs w:val="24"/>
          <w:rtl w:val="0"/>
        </w:rPr>
        <w:t xml:space="preserve">submit to CCS for its Approval, a draft Financial Distress Service Continuity Plan as soon as reasonably practicable (and in any event, within ten (10) Working Days of the initial notification (or awareness) of the Financial Distress Event); and</w:t>
      </w:r>
      <w:r w:rsidDel="00000000" w:rsidR="00000000" w:rsidRPr="00000000">
        <w:rPr>
          <w:rtl w:val="0"/>
        </w:rPr>
      </w:r>
    </w:p>
    <w:p w:rsidR="00000000" w:rsidDel="00000000" w:rsidP="00000000" w:rsidRDefault="00000000" w:rsidRPr="00000000" w14:paraId="0000003A">
      <w:pPr>
        <w:numPr>
          <w:ilvl w:val="3"/>
          <w:numId w:val="2"/>
        </w:numPr>
        <w:tabs>
          <w:tab w:val="left" w:pos="1985"/>
        </w:tabs>
        <w:spacing w:after="120" w:before="120" w:lineRule="auto"/>
        <w:ind w:left="2847" w:hanging="720"/>
        <w:jc w:val="left"/>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provide such financial information relating to the Monitored Company as CCS may reasonably require.</w:t>
      </w:r>
      <w:r w:rsidDel="00000000" w:rsidR="00000000" w:rsidRPr="00000000">
        <w:rPr>
          <w:rtl w:val="0"/>
        </w:rPr>
      </w:r>
    </w:p>
    <w:p w:rsidR="00000000" w:rsidDel="00000000" w:rsidP="00000000" w:rsidRDefault="00000000" w:rsidRPr="00000000" w14:paraId="0000003B">
      <w:pPr>
        <w:numPr>
          <w:ilvl w:val="1"/>
          <w:numId w:val="2"/>
        </w:numPr>
        <w:tabs>
          <w:tab w:val="left" w:pos="1134"/>
        </w:tabs>
        <w:spacing w:after="120" w:before="120" w:lineRule="auto"/>
        <w:ind w:left="644" w:hanging="360"/>
        <w:jc w:val="left"/>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r w:rsidDel="00000000" w:rsidR="00000000" w:rsidRPr="00000000">
        <w:rPr>
          <w:rtl w:val="0"/>
        </w:rPr>
      </w:r>
    </w:p>
    <w:p w:rsidR="00000000" w:rsidDel="00000000" w:rsidP="00000000" w:rsidRDefault="00000000" w:rsidRPr="00000000" w14:paraId="0000003C">
      <w:pPr>
        <w:numPr>
          <w:ilvl w:val="1"/>
          <w:numId w:val="2"/>
        </w:numPr>
        <w:tabs>
          <w:tab w:val="left" w:pos="1134"/>
        </w:tabs>
        <w:spacing w:after="120" w:before="120" w:lineRule="auto"/>
        <w:ind w:left="644" w:hanging="360"/>
        <w:jc w:val="left"/>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r w:rsidDel="00000000" w:rsidR="00000000" w:rsidRPr="00000000">
        <w:rPr>
          <w:rtl w:val="0"/>
        </w:rPr>
      </w:r>
    </w:p>
    <w:p w:rsidR="00000000" w:rsidDel="00000000" w:rsidP="00000000" w:rsidRDefault="00000000" w:rsidRPr="00000000" w14:paraId="0000003D">
      <w:pPr>
        <w:keepNext w:val="1"/>
        <w:numPr>
          <w:ilvl w:val="1"/>
          <w:numId w:val="2"/>
        </w:numPr>
        <w:tabs>
          <w:tab w:val="left" w:pos="1134"/>
        </w:tabs>
        <w:spacing w:after="120" w:before="120" w:lineRule="auto"/>
        <w:ind w:left="644" w:hanging="360"/>
        <w:jc w:val="left"/>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Following Approval of the Financial Distress Service Continuity Plan by CCS, the Supplier shall:</w:t>
      </w:r>
      <w:r w:rsidDel="00000000" w:rsidR="00000000" w:rsidRPr="00000000">
        <w:rPr>
          <w:rtl w:val="0"/>
        </w:rPr>
      </w:r>
    </w:p>
    <w:p w:rsidR="00000000" w:rsidDel="00000000" w:rsidP="00000000" w:rsidRDefault="00000000" w:rsidRPr="00000000" w14:paraId="0000003E">
      <w:pPr>
        <w:numPr>
          <w:ilvl w:val="2"/>
          <w:numId w:val="2"/>
        </w:numPr>
        <w:tabs>
          <w:tab w:val="left" w:pos="1985"/>
        </w:tabs>
        <w:spacing w:after="120" w:before="120" w:lineRule="auto"/>
        <w:ind w:left="2422" w:hanging="720"/>
        <w:jc w:val="left"/>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r w:rsidDel="00000000" w:rsidR="00000000" w:rsidRPr="00000000">
        <w:rPr>
          <w:rtl w:val="0"/>
        </w:rPr>
      </w:r>
    </w:p>
    <w:p w:rsidR="00000000" w:rsidDel="00000000" w:rsidP="00000000" w:rsidRDefault="00000000" w:rsidRPr="00000000" w14:paraId="0000003F">
      <w:pPr>
        <w:numPr>
          <w:ilvl w:val="2"/>
          <w:numId w:val="2"/>
        </w:numPr>
        <w:tabs>
          <w:tab w:val="left" w:pos="1985"/>
        </w:tabs>
        <w:spacing w:after="120" w:before="120" w:lineRule="auto"/>
        <w:ind w:left="2422" w:hanging="720"/>
        <w:jc w:val="left"/>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r w:rsidDel="00000000" w:rsidR="00000000" w:rsidRPr="00000000">
        <w:rPr>
          <w:rtl w:val="0"/>
        </w:rPr>
      </w:r>
    </w:p>
    <w:p w:rsidR="00000000" w:rsidDel="00000000" w:rsidP="00000000" w:rsidRDefault="00000000" w:rsidRPr="00000000" w14:paraId="00000040">
      <w:pPr>
        <w:numPr>
          <w:ilvl w:val="2"/>
          <w:numId w:val="2"/>
        </w:numPr>
        <w:tabs>
          <w:tab w:val="left" w:pos="1985"/>
        </w:tabs>
        <w:spacing w:after="120" w:before="120" w:lineRule="auto"/>
        <w:ind w:left="2422" w:hanging="720"/>
        <w:jc w:val="left"/>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comply with the Financial Distress Service Continuity Plan (including any updated Financial Distress Service Continuity Plan).</w:t>
      </w:r>
      <w:r w:rsidDel="00000000" w:rsidR="00000000" w:rsidRPr="00000000">
        <w:rPr>
          <w:rtl w:val="0"/>
        </w:rPr>
      </w:r>
    </w:p>
    <w:p w:rsidR="00000000" w:rsidDel="00000000" w:rsidP="00000000" w:rsidRDefault="00000000" w:rsidRPr="00000000" w14:paraId="00000041">
      <w:pPr>
        <w:numPr>
          <w:ilvl w:val="1"/>
          <w:numId w:val="2"/>
        </w:numPr>
        <w:tabs>
          <w:tab w:val="left" w:pos="1134"/>
        </w:tabs>
        <w:spacing w:after="120" w:before="120" w:lineRule="auto"/>
        <w:ind w:left="644" w:hanging="360"/>
        <w:jc w:val="left"/>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r w:rsidDel="00000000" w:rsidR="00000000" w:rsidRPr="00000000">
        <w:rPr>
          <w:rtl w:val="0"/>
        </w:rPr>
      </w:r>
    </w:p>
    <w:p w:rsidR="00000000" w:rsidDel="00000000" w:rsidP="00000000" w:rsidRDefault="00000000" w:rsidRPr="00000000" w14:paraId="00000042">
      <w:pPr>
        <w:numPr>
          <w:ilvl w:val="1"/>
          <w:numId w:val="2"/>
        </w:numPr>
        <w:tabs>
          <w:tab w:val="left"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CCS shall be able to share any information it receives from the Buyer in accordance with this Paragraph with any Buyer who has entered into a Call-Off Contract with the Supplier.</w:t>
      </w:r>
      <w:r w:rsidDel="00000000" w:rsidR="00000000" w:rsidRPr="00000000">
        <w:rPr>
          <w:rtl w:val="0"/>
        </w:rPr>
      </w:r>
    </w:p>
    <w:p w:rsidR="00000000" w:rsidDel="00000000" w:rsidP="00000000" w:rsidRDefault="00000000" w:rsidRPr="00000000" w14:paraId="00000043">
      <w:pPr>
        <w:keepNext w:val="1"/>
        <w:numPr>
          <w:ilvl w:val="0"/>
          <w:numId w:val="2"/>
        </w:numPr>
        <w:tabs>
          <w:tab w:val="left"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44">
      <w:pPr>
        <w:keepNext w:val="1"/>
        <w:numPr>
          <w:ilvl w:val="1"/>
          <w:numId w:val="2"/>
        </w:numPr>
        <w:tabs>
          <w:tab w:val="left" w:pos="1134"/>
        </w:tabs>
        <w:spacing w:after="120" w:before="120" w:lineRule="auto"/>
        <w:ind w:left="644" w:hanging="360"/>
        <w:jc w:val="left"/>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CCS shall be entitled to terminate this Contract and Buyers shall be entitled to terminate their Call-Off Contracts for material Default if: </w:t>
      </w:r>
      <w:r w:rsidDel="00000000" w:rsidR="00000000" w:rsidRPr="00000000">
        <w:rPr>
          <w:rtl w:val="0"/>
        </w:rPr>
      </w:r>
    </w:p>
    <w:p w:rsidR="00000000" w:rsidDel="00000000" w:rsidP="00000000" w:rsidRDefault="00000000" w:rsidRPr="00000000" w14:paraId="00000045">
      <w:pPr>
        <w:numPr>
          <w:ilvl w:val="2"/>
          <w:numId w:val="2"/>
        </w:numPr>
        <w:tabs>
          <w:tab w:val="left"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fails to notify CCS of a Financial Distress Event in accordance with Paragraph 3.4; </w:t>
      </w:r>
      <w:r w:rsidDel="00000000" w:rsidR="00000000" w:rsidRPr="00000000">
        <w:rPr>
          <w:rtl w:val="0"/>
        </w:rPr>
      </w:r>
    </w:p>
    <w:p w:rsidR="00000000" w:rsidDel="00000000" w:rsidP="00000000" w:rsidRDefault="00000000" w:rsidRPr="00000000" w14:paraId="00000046">
      <w:pPr>
        <w:numPr>
          <w:ilvl w:val="2"/>
          <w:numId w:val="2"/>
        </w:numPr>
        <w:tabs>
          <w:tab w:val="left"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CCS and the Supplier fail to agree a Financial Distress Service Continuity Plan (or any updated Financial Distress Service Continuity Plan) in accordance with Paragraphs 4.3 to 4.5; and/or</w:t>
      </w:r>
      <w:r w:rsidDel="00000000" w:rsidR="00000000" w:rsidRPr="00000000">
        <w:rPr>
          <w:rtl w:val="0"/>
        </w:rPr>
      </w:r>
    </w:p>
    <w:p w:rsidR="00000000" w:rsidDel="00000000" w:rsidP="00000000" w:rsidRDefault="00000000" w:rsidRPr="00000000" w14:paraId="00000047">
      <w:pPr>
        <w:numPr>
          <w:ilvl w:val="2"/>
          <w:numId w:val="2"/>
        </w:numPr>
        <w:tabs>
          <w:tab w:val="left"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fails to comply with the terms of the Financial Distress Service Continuity Plan (or any updated Financial Distress Service Continuity Plan) in accordance with Paragraph 4.6.3.</w:t>
      </w:r>
      <w:r w:rsidDel="00000000" w:rsidR="00000000" w:rsidRPr="00000000">
        <w:rPr>
          <w:rtl w:val="0"/>
        </w:rPr>
      </w:r>
    </w:p>
    <w:p w:rsidR="00000000" w:rsidDel="00000000" w:rsidP="00000000" w:rsidRDefault="00000000" w:rsidRPr="00000000" w14:paraId="00000048">
      <w:pPr>
        <w:keepNext w:val="1"/>
        <w:numPr>
          <w:ilvl w:val="0"/>
          <w:numId w:val="2"/>
        </w:numPr>
        <w:tabs>
          <w:tab w:val="left" w:pos="142"/>
        </w:tabs>
        <w:spacing w:before="120" w:lineRule="auto"/>
        <w:ind w:left="360" w:hanging="360"/>
        <w:jc w:val="left"/>
        <w:rPr/>
      </w:pPr>
      <w:bookmarkStart w:colFirst="0" w:colLast="0" w:name="_heading=h.3j2qqm3" w:id="19"/>
      <w:bookmarkEnd w:id="19"/>
      <w:r w:rsidDel="00000000" w:rsidR="00000000" w:rsidRPr="00000000">
        <w:rPr>
          <w:rFonts w:ascii="Arial Bold" w:cs="Arial Bold" w:eastAsia="Arial Bold" w:hAnsi="Arial Bold"/>
          <w:b w:val="1"/>
          <w:color w:val="000000"/>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049">
      <w:pPr>
        <w:numPr>
          <w:ilvl w:val="1"/>
          <w:numId w:val="2"/>
        </w:numPr>
        <w:tabs>
          <w:tab w:val="left"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r w:rsidDel="00000000" w:rsidR="00000000" w:rsidRPr="00000000">
        <w:rPr>
          <w:rtl w:val="0"/>
        </w:rPr>
      </w:r>
    </w:p>
    <w:p w:rsidR="00000000" w:rsidDel="00000000" w:rsidP="00000000" w:rsidRDefault="00000000" w:rsidRPr="00000000" w14:paraId="0000004A">
      <w:pPr>
        <w:numPr>
          <w:ilvl w:val="2"/>
          <w:numId w:val="2"/>
        </w:numPr>
        <w:tabs>
          <w:tab w:val="left"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r w:rsidDel="00000000" w:rsidR="00000000" w:rsidRPr="00000000">
        <w:rPr>
          <w:rtl w:val="0"/>
        </w:rPr>
      </w:r>
    </w:p>
    <w:p w:rsidR="00000000" w:rsidDel="00000000" w:rsidP="00000000" w:rsidRDefault="00000000" w:rsidRPr="00000000" w14:paraId="0000004B">
      <w:pPr>
        <w:numPr>
          <w:ilvl w:val="2"/>
          <w:numId w:val="2"/>
        </w:numPr>
        <w:tabs>
          <w:tab w:val="left"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CCS shall not be entitled to require the Supplier to provide financial information in accordance with Paragraph 4.3.2(b). </w:t>
      </w:r>
      <w:r w:rsidDel="00000000" w:rsidR="00000000" w:rsidRPr="00000000">
        <w:rPr>
          <w:rtl w:val="0"/>
        </w:rPr>
      </w:r>
    </w:p>
    <w:p w:rsidR="00000000" w:rsidDel="00000000" w:rsidP="00000000" w:rsidRDefault="00000000" w:rsidRPr="00000000" w14:paraId="0000004C">
      <w:pPr>
        <w:spacing w:after="0" w:lineRule="auto"/>
        <w:jc w:val="left"/>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4D">
      <w:pPr>
        <w:keepNext w:val="1"/>
        <w:ind w:firstLine="426"/>
        <w:jc w:val="left"/>
        <w:rPr>
          <w:rFonts w:ascii="Arial" w:cs="Arial" w:eastAsia="Arial" w:hAnsi="Arial"/>
          <w:b w:val="1"/>
          <w:smallCaps w:val="1"/>
          <w:color w:val="000000"/>
          <w:sz w:val="24"/>
          <w:szCs w:val="24"/>
        </w:rPr>
      </w:pPr>
      <w:bookmarkStart w:colFirst="0" w:colLast="0" w:name="_heading=h.1y810tw" w:id="20"/>
      <w:bookmarkEnd w:id="20"/>
      <w:r w:rsidDel="00000000" w:rsidR="00000000" w:rsidRPr="00000000">
        <w:br w:type="page"/>
      </w:r>
      <w:r w:rsidDel="00000000" w:rsidR="00000000" w:rsidRPr="00000000">
        <w:rPr>
          <w:rtl w:val="0"/>
        </w:rPr>
      </w:r>
    </w:p>
    <w:p w:rsidR="00000000" w:rsidDel="00000000" w:rsidP="00000000" w:rsidRDefault="00000000" w:rsidRPr="00000000" w14:paraId="0000004E">
      <w:pPr>
        <w:keepNext w:val="1"/>
        <w:ind w:firstLine="426"/>
        <w:jc w:val="left"/>
        <w:rPr>
          <w:rFonts w:ascii="Arial" w:cs="Arial" w:eastAsia="Arial" w:hAnsi="Arial"/>
          <w:b w:val="1"/>
          <w:smallCaps w:val="1"/>
          <w:color w:val="000000"/>
          <w:sz w:val="36"/>
          <w:szCs w:val="36"/>
        </w:rPr>
      </w:pPr>
      <w:bookmarkStart w:colFirst="0" w:colLast="0" w:name="_heading=h.4i7ojhp" w:id="21"/>
      <w:bookmarkEnd w:id="21"/>
      <w:r w:rsidDel="00000000" w:rsidR="00000000" w:rsidRPr="00000000">
        <w:rPr>
          <w:rFonts w:ascii="Arial" w:cs="Arial" w:eastAsia="Arial" w:hAnsi="Arial"/>
          <w:b w:val="1"/>
          <w:smallCaps w:val="1"/>
          <w:color w:val="000000"/>
          <w:sz w:val="36"/>
          <w:szCs w:val="36"/>
          <w:rtl w:val="0"/>
        </w:rPr>
        <w:t xml:space="preserve">ANNEX 1: RATING AGENCIES</w:t>
      </w:r>
    </w:p>
    <w:p w:rsidR="00000000" w:rsidDel="00000000" w:rsidP="00000000" w:rsidRDefault="00000000" w:rsidRPr="00000000" w14:paraId="0000004F">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Dun and Bradstreet</w:t>
      </w:r>
    </w:p>
    <w:p w:rsidR="00000000" w:rsidDel="00000000" w:rsidP="00000000" w:rsidRDefault="00000000" w:rsidRPr="00000000" w14:paraId="00000050">
      <w:pPr>
        <w:keepNext w:val="1"/>
        <w:spacing w:after="120" w:before="240" w:lineRule="auto"/>
        <w:ind w:left="142" w:firstLine="0"/>
        <w:jc w:val="left"/>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1">
      <w:pPr>
        <w:keepNext w:val="1"/>
        <w:ind w:firstLine="426"/>
        <w:jc w:val="left"/>
        <w:rPr>
          <w:rFonts w:ascii="Arial" w:cs="Arial" w:eastAsia="Arial" w:hAnsi="Arial"/>
          <w:b w:val="1"/>
          <w:smallCaps w:val="1"/>
          <w:color w:val="000000"/>
          <w:sz w:val="36"/>
          <w:szCs w:val="36"/>
        </w:rPr>
      </w:pPr>
      <w:bookmarkStart w:colFirst="0" w:colLast="0" w:name="_heading=h.2xcytpi" w:id="22"/>
      <w:bookmarkEnd w:id="22"/>
      <w:r w:rsidDel="00000000" w:rsidR="00000000" w:rsidRPr="00000000">
        <w:rPr>
          <w:rFonts w:ascii="Arial" w:cs="Arial" w:eastAsia="Arial" w:hAnsi="Arial"/>
          <w:b w:val="1"/>
          <w:smallCaps w:val="1"/>
          <w:color w:val="000000"/>
          <w:sz w:val="36"/>
          <w:szCs w:val="36"/>
          <w:rtl w:val="0"/>
        </w:rPr>
        <w:t xml:space="preserve">ANNEX 2: CREDIT RATINGS &amp; CREDIT RATING THRESHOLDS</w:t>
      </w:r>
    </w:p>
    <w:p w:rsidR="00000000" w:rsidDel="00000000" w:rsidP="00000000" w:rsidRDefault="00000000" w:rsidRPr="00000000" w14:paraId="00000052">
      <w:pPr>
        <w:keepNext w:val="1"/>
        <w:ind w:firstLine="42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 1: Current Rating</w:t>
      </w:r>
    </w:p>
    <w:tbl>
      <w:tblPr>
        <w:tblStyle w:val="Table3"/>
        <w:tblW w:w="6161.0" w:type="dxa"/>
        <w:jc w:val="left"/>
        <w:tblBorders>
          <w:top w:color="000000" w:space="0" w:sz="4" w:val="single"/>
          <w:left w:color="000000" w:space="0" w:sz="4" w:val="single"/>
          <w:bottom w:color="000000" w:space="0" w:sz="6" w:val="single"/>
          <w:right w:color="000000" w:space="0" w:sz="6" w:val="single"/>
          <w:insideH w:color="000000" w:space="0" w:sz="6" w:val="single"/>
          <w:insideV w:color="000000" w:space="0" w:sz="6" w:val="single"/>
        </w:tblBorders>
        <w:tblLayout w:type="fixed"/>
        <w:tblLook w:val="0000"/>
      </w:tblPr>
      <w:tblGrid>
        <w:gridCol w:w="3080"/>
        <w:gridCol w:w="3081"/>
        <w:tblGridChange w:id="0">
          <w:tblGrid>
            <w:gridCol w:w="3080"/>
            <w:gridCol w:w="3081"/>
          </w:tblGrid>
        </w:tblGridChange>
      </w:tblGrid>
      <w:tr>
        <w:trPr>
          <w:cantSplit w:val="0"/>
          <w:tblHeader w:val="0"/>
        </w:trPr>
        <w:tc>
          <w:tcPr>
            <w:tcBorders>
              <w:top w:color="000000" w:space="0" w:sz="4"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053">
            <w:pPr>
              <w:keepNext w:val="1"/>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054">
            <w:pPr>
              <w:keepNext w:val="1"/>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tcBorders>
              <w:top w:color="000000" w:space="0" w:sz="6"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055">
            <w:pPr>
              <w:keepNext w:val="1"/>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tcBorders>
              <w:top w:color="000000" w:space="0" w:sz="6"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056">
            <w:pPr>
              <w:keepNext w:val="1"/>
              <w:spacing w:after="120" w:before="240" w:lineRule="auto"/>
              <w:ind w:left="142" w:firstLine="0"/>
              <w:jc w:val="left"/>
              <w:rPr/>
            </w:pPr>
            <w:r w:rsidDel="00000000" w:rsidR="00000000" w:rsidRPr="00000000">
              <w:rPr>
                <w:rFonts w:ascii="Arial" w:cs="Arial" w:eastAsia="Arial" w:hAnsi="Arial"/>
                <w:color w:val="000000"/>
                <w:sz w:val="24"/>
                <w:szCs w:val="24"/>
                <w:rtl w:val="0"/>
              </w:rPr>
              <w:t xml:space="preserve">D&amp;B Threshold:</w:t>
            </w:r>
            <w:r w:rsidDel="00000000" w:rsidR="00000000" w:rsidRPr="00000000">
              <w:rPr>
                <w:rtl w:val="0"/>
              </w:rPr>
            </w:r>
          </w:p>
          <w:p w:rsidR="00000000" w:rsidDel="00000000" w:rsidP="00000000" w:rsidRDefault="00000000" w:rsidRPr="00000000" w14:paraId="00000057">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Lot 7 = 60</w:t>
            </w:r>
          </w:p>
          <w:p w:rsidR="00000000" w:rsidDel="00000000" w:rsidP="00000000" w:rsidRDefault="00000000" w:rsidRPr="00000000" w14:paraId="00000058">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Suppliers Current D&amp;B Score: </w:t>
            </w: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highlight w:val="yellow"/>
                <w:rtl w:val="0"/>
              </w:rPr>
              <w:t xml:space="preserve">Redacted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ffff"/>
                <w:sz w:val="24"/>
                <w:szCs w:val="24"/>
                <w:highlight w:val="black"/>
                <w:rtl w:val="0"/>
              </w:rPr>
              <w:t xml:space="preserve">Under FOIA, Section 40, Personal Information</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059">
            <w:pPr>
              <w:keepNext w:val="1"/>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Guarantor</w:t>
            </w:r>
          </w:p>
        </w:tc>
        <w:tc>
          <w:tcPr>
            <w:tcBorders>
              <w:top w:color="000000" w:space="0" w:sz="6"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05A">
            <w:pPr>
              <w:keepNext w:val="1"/>
              <w:spacing w:after="120" w:before="240" w:lineRule="auto"/>
              <w:ind w:left="142" w:firstLine="0"/>
              <w:jc w:val="left"/>
              <w:rPr/>
            </w:pPr>
            <w:r w:rsidDel="00000000" w:rsidR="00000000" w:rsidRPr="00000000">
              <w:rPr>
                <w:rFonts w:ascii="Arial" w:cs="Arial" w:eastAsia="Arial" w:hAnsi="Arial"/>
                <w:sz w:val="24"/>
                <w:szCs w:val="24"/>
                <w:rtl w:val="0"/>
              </w:rPr>
              <w:t xml:space="preserve">D&amp;B Threshold:</w:t>
            </w:r>
            <w:r w:rsidDel="00000000" w:rsidR="00000000" w:rsidRPr="00000000">
              <w:rPr>
                <w:rtl w:val="0"/>
              </w:rPr>
            </w:r>
          </w:p>
          <w:p w:rsidR="00000000" w:rsidDel="00000000" w:rsidP="00000000" w:rsidRDefault="00000000" w:rsidRPr="00000000" w14:paraId="0000005B">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Lot 7 = 60</w:t>
            </w:r>
          </w:p>
        </w:tc>
      </w:tr>
    </w:tbl>
    <w:p w:rsidR="00000000" w:rsidDel="00000000" w:rsidP="00000000" w:rsidRDefault="00000000" w:rsidRPr="00000000" w14:paraId="0000005C">
      <w:pPr>
        <w:spacing w:after="0" w:lineRule="auto"/>
        <w:rPr/>
      </w:pPr>
      <w:r w:rsidDel="00000000" w:rsidR="00000000" w:rsidRPr="00000000">
        <w:rPr>
          <w:rtl w:val="0"/>
        </w:rPr>
      </w:r>
    </w:p>
    <w:sectPr>
      <w:headerReference r:id="rId9" w:type="default"/>
      <w:footerReference r:id="rId10"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w:t>
    </w:r>
  </w:p>
  <w:p w:rsidR="00000000" w:rsidDel="00000000" w:rsidP="00000000" w:rsidRDefault="00000000" w:rsidRPr="00000000" w14:paraId="0000006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Contract Reference</w:t>
    </w:r>
    <w:r w:rsidDel="00000000" w:rsidR="00000000" w:rsidRPr="00000000">
      <w:rPr>
        <w:rFonts w:ascii="Arial" w:cs="Arial" w:eastAsia="Arial" w:hAnsi="Arial"/>
        <w:sz w:val="20"/>
        <w:szCs w:val="20"/>
        <w:rtl w:val="0"/>
      </w:rPr>
      <w:t xml:space="preserve">: CCBO21A04  </w:t>
      <w:tab/>
      <w:t xml:space="preserve">                                           </w:t>
    </w:r>
  </w:p>
  <w:p w:rsidR="00000000" w:rsidDel="00000000" w:rsidP="00000000" w:rsidRDefault="00000000" w:rsidRPr="00000000" w14:paraId="00000061">
    <w:pPr>
      <w:tabs>
        <w:tab w:val="center" w:pos="4513"/>
        <w:tab w:val="right" w:pos="9026"/>
      </w:tabs>
      <w:spacing w:after="0" w:lineRule="auto"/>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2">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v3.3</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p>
  <w:p w:rsidR="00000000" w:rsidDel="00000000" w:rsidP="00000000" w:rsidRDefault="00000000" w:rsidRPr="00000000" w14:paraId="0000005E">
    <w:pPr>
      <w:tabs>
        <w:tab w:val="center" w:pos="4513"/>
        <w:tab w:val="right" w:pos="9026"/>
      </w:tabs>
      <w:spacing w:after="0" w:lineRule="auto"/>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4"/>
        <w:szCs w:val="24"/>
      </w:rPr>
    </w:lvl>
    <w:lvl w:ilvl="1">
      <w:start w:val="1"/>
      <w:numFmt w:val="lowerLetter"/>
      <w:lvlText w:val="%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sz w:val="22"/>
        <w:szCs w:val="22"/>
        <w:u w:val="none"/>
        <w:vertAlign w:val="baseline"/>
      </w:rPr>
    </w:lvl>
    <w:lvl w:ilvl="5">
      <w:start w:val="1"/>
      <w:numFmt w:val="upperLetter"/>
      <w:lvlText w:val="(%6)"/>
      <w:lvlJc w:val="left"/>
      <w:pPr>
        <w:ind w:left="1440" w:hanging="1080"/>
      </w:pPr>
      <w:rPr>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b w:val="1"/>
      <w:color w:val="000000"/>
      <w:sz w:val="36"/>
      <w:szCs w:val="3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280" w:lineRule="auto"/>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pPr>
    <w:rPr>
      <w:b w:val="1"/>
      <w:color w:val="000000"/>
      <w:sz w:val="24"/>
      <w:szCs w:val="24"/>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40" w:before="220" w:lineRule="auto"/>
    </w:pPr>
    <w:rPr>
      <w:b w:val="1"/>
      <w:color w:val="000000"/>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40" w:before="200" w:lineRule="auto"/>
    </w:pPr>
    <w:rPr>
      <w:b w:val="1"/>
      <w:color w:val="000000"/>
      <w:sz w:val="20"/>
      <w:szCs w:val="2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b w:val="1"/>
      <w:color w:val="000000"/>
      <w:sz w:val="36"/>
      <w:szCs w:val="3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280" w:lineRule="auto"/>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pPr>
    <w:rPr>
      <w:b w:val="1"/>
      <w:color w:val="000000"/>
      <w:sz w:val="24"/>
      <w:szCs w:val="24"/>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40" w:before="220" w:lineRule="auto"/>
    </w:pPr>
    <w:rPr>
      <w:b w:val="1"/>
      <w:color w:val="000000"/>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40" w:before="200" w:lineRule="auto"/>
    </w:pPr>
    <w:rPr>
      <w:b w:val="1"/>
      <w:color w:val="000000"/>
      <w:sz w:val="20"/>
      <w:szCs w:val="2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pBdr>
        <w:top w:space="0" w:sz="0" w:val="nil"/>
        <w:left w:space="0" w:sz="0" w:val="nil"/>
        <w:bottom w:space="0" w:sz="0" w:val="nil"/>
        <w:right w:space="0" w:sz="0" w:val="nil"/>
        <w:between w:space="0" w:sz="0" w:val="nil"/>
      </w:pBdr>
      <w:spacing w:after="120" w:before="480"/>
      <w:outlineLvl w:val="0"/>
    </w:pPr>
    <w:rPr>
      <w:b w:val="1"/>
      <w:color w:val="000000"/>
      <w:sz w:val="48"/>
      <w:szCs w:val="48"/>
    </w:rPr>
  </w:style>
  <w:style w:type="paragraph" w:styleId="Heading2">
    <w:name w:val="heading 2"/>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80" w:before="360"/>
      <w:outlineLvl w:val="1"/>
    </w:pPr>
    <w:rPr>
      <w:b w:val="1"/>
      <w:color w:val="000000"/>
      <w:sz w:val="36"/>
      <w:szCs w:val="36"/>
    </w:rPr>
  </w:style>
  <w:style w:type="paragraph" w:styleId="Heading3">
    <w:name w:val="heading 3"/>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80" w:before="280"/>
      <w:outlineLvl w:val="2"/>
    </w:pPr>
    <w:rPr>
      <w:b w:val="1"/>
      <w:color w:val="000000"/>
      <w:sz w:val="28"/>
      <w:szCs w:val="28"/>
    </w:rPr>
  </w:style>
  <w:style w:type="paragraph" w:styleId="Heading4">
    <w:name w:val="heading 4"/>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40" w:before="240"/>
      <w:outlineLvl w:val="3"/>
    </w:pPr>
    <w:rPr>
      <w:b w:val="1"/>
      <w:color w:val="000000"/>
      <w:sz w:val="24"/>
      <w:szCs w:val="24"/>
    </w:rPr>
  </w:style>
  <w:style w:type="paragraph" w:styleId="Heading5">
    <w:name w:val="heading 5"/>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40" w:before="220"/>
      <w:outlineLvl w:val="4"/>
    </w:pPr>
    <w:rPr>
      <w:b w:val="1"/>
      <w:color w:val="000000"/>
    </w:rPr>
  </w:style>
  <w:style w:type="paragraph" w:styleId="Heading6">
    <w:name w:val="heading 6"/>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40" w:before="200"/>
      <w:outlineLvl w:val="5"/>
    </w:pPr>
    <w:rPr>
      <w:b w:val="1"/>
      <w:color w:val="000000"/>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pBdr>
        <w:top w:space="0" w:sz="0" w:val="nil"/>
        <w:left w:space="0" w:sz="0" w:val="nil"/>
        <w:bottom w:space="0" w:sz="0" w:val="nil"/>
        <w:right w:space="0" w:sz="0" w:val="nil"/>
        <w:between w:space="0" w:sz="0" w:val="nil"/>
      </w:pBdr>
      <w:spacing w:after="120" w:before="480"/>
    </w:pPr>
    <w:rPr>
      <w:b w:val="1"/>
      <w:color w:val="000000"/>
      <w:sz w:val="72"/>
      <w:szCs w:val="72"/>
    </w:rPr>
  </w:style>
  <w:style w:type="paragraph" w:styleId="Subtitle">
    <w:name w:val="Subtitle"/>
    <w:basedOn w:val="Normal"/>
    <w:next w:val="Normal"/>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0n6WMSUWSw1TQJmS1znJyuGq7A==">AMUW2mWAEw3cqk8JoJjjlhoe7yYi2UIeGApDgQIJktFuCmgI+gFWuEDg+K9MKOe5G/Aw2wlIHsLauEssR16uPylLSYHxKMfx/f4ZTskukoYoNZYOyQeo7JAtqYaSImmGjxtH0UkJX770ddtL5PA8Sr45Z7Ktv3y4OJdiVOFZymx3I7u4NtZSmjawVcJvXS/TUT56zSllQZeWTZHEsqQnGBe9C/KqiUi7+kcABymheKlUz35mnenL3TnIdejGEolleY+iynaGRdL+wUQ7eP9ZlEeznqVK3BsJdwcOyU3OdWkI15poWF92xfZsm5sx7EviRv+TEbcfgBILGUz2Vnx2sGzgnSG/bn2owMtDmbtVVFFk5OfDwJWSk4ANnCOq4gA4K++xwcuOWsDIe/0xCGiOAQVYY5V4yAgeuQEWEKWm0xcVQN4NqKTC6lZS7xdn7iH2ky7fqsS0xm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2022-07-19T10:54:00Z</dcterms:created>
  <dc:creator>Kelly Hughes</dc:creator>
</cp:coreProperties>
</file>